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0AB7" w14:textId="1F74DE0F" w:rsidR="00904FEF" w:rsidRPr="007C1B28" w:rsidRDefault="002A2AEC" w:rsidP="002A2AEC">
      <w:pPr>
        <w:pStyle w:val="BodyCopy"/>
        <w:jc w:val="center"/>
        <w:rPr>
          <w:b/>
          <w:sz w:val="28"/>
          <w:szCs w:val="28"/>
          <w:lang w:val="cs-CZ"/>
        </w:rPr>
      </w:pPr>
      <w:proofErr w:type="spellStart"/>
      <w:r w:rsidRPr="007C1B28">
        <w:rPr>
          <w:b/>
          <w:sz w:val="28"/>
          <w:szCs w:val="28"/>
          <w:lang w:val="cs-CZ"/>
        </w:rPr>
        <w:t>Clare</w:t>
      </w:r>
      <w:proofErr w:type="spellEnd"/>
      <w:r w:rsidRPr="007C1B28">
        <w:rPr>
          <w:b/>
          <w:sz w:val="28"/>
          <w:szCs w:val="28"/>
          <w:lang w:val="cs-CZ"/>
        </w:rPr>
        <w:t xml:space="preserve"> </w:t>
      </w:r>
      <w:proofErr w:type="spellStart"/>
      <w:r w:rsidRPr="007C1B28">
        <w:rPr>
          <w:b/>
          <w:sz w:val="28"/>
          <w:szCs w:val="28"/>
          <w:lang w:val="cs-CZ"/>
        </w:rPr>
        <w:t>Sheils</w:t>
      </w:r>
      <w:proofErr w:type="spellEnd"/>
      <w:r w:rsidRPr="007C1B28">
        <w:rPr>
          <w:b/>
          <w:sz w:val="28"/>
          <w:szCs w:val="28"/>
          <w:lang w:val="cs-CZ"/>
        </w:rPr>
        <w:t>, generální ředitelka CBRE, byla zařazena mezi 50 nejvlivnějších osobností českého a slovenského realitního trhu</w:t>
      </w:r>
    </w:p>
    <w:p w14:paraId="147D5FB9" w14:textId="77777777" w:rsidR="002A2AEC" w:rsidRPr="007C1B28" w:rsidRDefault="002A2AEC" w:rsidP="00E02087">
      <w:pPr>
        <w:pStyle w:val="BodyCopy"/>
        <w:rPr>
          <w:color w:val="auto"/>
        </w:rPr>
      </w:pPr>
    </w:p>
    <w:p w14:paraId="3C89B897" w14:textId="1EA05100" w:rsidR="002A2AEC" w:rsidRPr="007C1B28" w:rsidRDefault="00D92A6B" w:rsidP="002A2AEC">
      <w:pPr>
        <w:rPr>
          <w:color w:val="425254" w:themeColor="text1"/>
          <w:sz w:val="22"/>
          <w:szCs w:val="22"/>
          <w:lang w:val="cs-CZ"/>
        </w:rPr>
      </w:pPr>
      <w:r w:rsidRPr="007C1B28">
        <w:rPr>
          <w:b/>
          <w:bCs/>
          <w:color w:val="425254" w:themeColor="text1"/>
          <w:sz w:val="22"/>
          <w:szCs w:val="22"/>
          <w:lang w:val="cs-CZ"/>
        </w:rPr>
        <w:t xml:space="preserve">Praha – </w:t>
      </w:r>
      <w:r w:rsidR="002A2AEC" w:rsidRPr="007C1B28">
        <w:rPr>
          <w:b/>
          <w:bCs/>
          <w:color w:val="425254" w:themeColor="text1"/>
          <w:sz w:val="22"/>
          <w:szCs w:val="22"/>
          <w:lang w:val="cs-CZ"/>
        </w:rPr>
        <w:t>30</w:t>
      </w:r>
      <w:r w:rsidRPr="007C1B28">
        <w:rPr>
          <w:b/>
          <w:bCs/>
          <w:color w:val="425254" w:themeColor="text1"/>
          <w:sz w:val="22"/>
          <w:szCs w:val="22"/>
          <w:lang w:val="cs-CZ"/>
        </w:rPr>
        <w:t xml:space="preserve">. </w:t>
      </w:r>
      <w:r w:rsidR="002A2AEC" w:rsidRPr="007C1B28">
        <w:rPr>
          <w:b/>
          <w:bCs/>
          <w:color w:val="425254" w:themeColor="text1"/>
          <w:sz w:val="22"/>
          <w:szCs w:val="22"/>
          <w:lang w:val="cs-CZ"/>
        </w:rPr>
        <w:t>května</w:t>
      </w:r>
      <w:r w:rsidRPr="007C1B28">
        <w:rPr>
          <w:b/>
          <w:bCs/>
          <w:color w:val="425254" w:themeColor="text1"/>
          <w:sz w:val="22"/>
          <w:szCs w:val="22"/>
          <w:lang w:val="cs-CZ"/>
        </w:rPr>
        <w:t xml:space="preserve"> 2025</w:t>
      </w:r>
      <w:r w:rsidRPr="007C1B28">
        <w:rPr>
          <w:color w:val="425254" w:themeColor="text1"/>
          <w:sz w:val="22"/>
          <w:szCs w:val="22"/>
          <w:lang w:val="cs-CZ"/>
        </w:rPr>
        <w:t xml:space="preserve"> – </w:t>
      </w:r>
      <w:proofErr w:type="spellStart"/>
      <w:r w:rsidR="002A2AEC" w:rsidRPr="007C1B28">
        <w:rPr>
          <w:color w:val="425254" w:themeColor="text1"/>
          <w:sz w:val="22"/>
          <w:szCs w:val="22"/>
          <w:lang w:val="cs-CZ"/>
        </w:rPr>
        <w:t>Clare</w:t>
      </w:r>
      <w:proofErr w:type="spellEnd"/>
      <w:r w:rsidR="002A2AEC" w:rsidRPr="007C1B28">
        <w:rPr>
          <w:color w:val="425254" w:themeColor="text1"/>
          <w:sz w:val="22"/>
          <w:szCs w:val="22"/>
          <w:lang w:val="cs-CZ"/>
        </w:rPr>
        <w:t xml:space="preserve"> </w:t>
      </w:r>
      <w:proofErr w:type="spellStart"/>
      <w:r w:rsidR="002A2AEC" w:rsidRPr="007C1B28">
        <w:rPr>
          <w:color w:val="425254" w:themeColor="text1"/>
          <w:sz w:val="22"/>
          <w:szCs w:val="22"/>
          <w:lang w:val="cs-CZ"/>
        </w:rPr>
        <w:t>Sheils</w:t>
      </w:r>
      <w:proofErr w:type="spellEnd"/>
      <w:r w:rsidR="002A2AEC" w:rsidRPr="007C1B28">
        <w:rPr>
          <w:color w:val="425254" w:themeColor="text1"/>
          <w:sz w:val="22"/>
          <w:szCs w:val="22"/>
          <w:lang w:val="cs-CZ"/>
        </w:rPr>
        <w:t xml:space="preserve">, generální ředitelka tuzemské pobočky CBRE, světového lídra v oblasti poskytování komerčních realitních služeb, byla zařazena do prestižního žebříčku "50 nejvlivnějších osobností českého a slovenského realitního trhu", který sestavuje renomovaný magazín </w:t>
      </w:r>
      <w:proofErr w:type="spellStart"/>
      <w:r w:rsidR="002A2AEC" w:rsidRPr="007C1B28">
        <w:rPr>
          <w:color w:val="425254" w:themeColor="text1"/>
          <w:sz w:val="22"/>
          <w:szCs w:val="22"/>
          <w:lang w:val="cs-CZ"/>
        </w:rPr>
        <w:t>Property</w:t>
      </w:r>
      <w:proofErr w:type="spellEnd"/>
      <w:r w:rsidR="002A2AEC" w:rsidRPr="007C1B28">
        <w:rPr>
          <w:color w:val="425254" w:themeColor="text1"/>
          <w:sz w:val="22"/>
          <w:szCs w:val="22"/>
          <w:lang w:val="cs-CZ"/>
        </w:rPr>
        <w:t xml:space="preserve"> </w:t>
      </w:r>
      <w:proofErr w:type="spellStart"/>
      <w:r w:rsidR="002A2AEC" w:rsidRPr="007C1B28">
        <w:rPr>
          <w:color w:val="425254" w:themeColor="text1"/>
          <w:sz w:val="22"/>
          <w:szCs w:val="22"/>
          <w:lang w:val="cs-CZ"/>
        </w:rPr>
        <w:t>Forum</w:t>
      </w:r>
      <w:proofErr w:type="spellEnd"/>
      <w:r w:rsidR="002A2AEC" w:rsidRPr="007C1B28">
        <w:rPr>
          <w:color w:val="425254" w:themeColor="text1"/>
          <w:sz w:val="22"/>
          <w:szCs w:val="22"/>
          <w:lang w:val="cs-CZ"/>
        </w:rPr>
        <w:t xml:space="preserve">. </w:t>
      </w:r>
      <w:proofErr w:type="spellStart"/>
      <w:r w:rsidR="002A2AEC" w:rsidRPr="007C1B28">
        <w:rPr>
          <w:color w:val="425254" w:themeColor="text1"/>
          <w:sz w:val="22"/>
          <w:szCs w:val="22"/>
          <w:lang w:val="cs-CZ"/>
        </w:rPr>
        <w:t>Clare</w:t>
      </w:r>
      <w:proofErr w:type="spellEnd"/>
      <w:r w:rsidR="002A2AEC" w:rsidRPr="007C1B28">
        <w:rPr>
          <w:color w:val="425254" w:themeColor="text1"/>
          <w:sz w:val="22"/>
          <w:szCs w:val="22"/>
          <w:lang w:val="cs-CZ"/>
        </w:rPr>
        <w:t xml:space="preserve"> </w:t>
      </w:r>
      <w:proofErr w:type="spellStart"/>
      <w:r w:rsidR="002A2AEC" w:rsidRPr="007C1B28">
        <w:rPr>
          <w:color w:val="425254" w:themeColor="text1"/>
          <w:sz w:val="22"/>
          <w:szCs w:val="22"/>
          <w:lang w:val="cs-CZ"/>
        </w:rPr>
        <w:t>Sheils</w:t>
      </w:r>
      <w:proofErr w:type="spellEnd"/>
      <w:r w:rsidR="002A2AEC" w:rsidRPr="007C1B28">
        <w:rPr>
          <w:color w:val="425254" w:themeColor="text1"/>
          <w:sz w:val="22"/>
          <w:szCs w:val="22"/>
          <w:lang w:val="cs-CZ"/>
        </w:rPr>
        <w:t xml:space="preserve"> je zároveň jednou ze dvou žen, které se </w:t>
      </w:r>
      <w:r w:rsidR="004B40B3" w:rsidRPr="007C1B28">
        <w:rPr>
          <w:color w:val="425254" w:themeColor="text1"/>
          <w:sz w:val="22"/>
          <w:szCs w:val="22"/>
          <w:lang w:val="cs-CZ"/>
        </w:rPr>
        <w:t>ve</w:t>
      </w:r>
      <w:r w:rsidR="002A2AEC" w:rsidRPr="007C1B28">
        <w:rPr>
          <w:color w:val="425254" w:themeColor="text1"/>
          <w:sz w:val="22"/>
          <w:szCs w:val="22"/>
          <w:lang w:val="cs-CZ"/>
        </w:rPr>
        <w:t xml:space="preserve"> výběru objevily.</w:t>
      </w:r>
    </w:p>
    <w:p w14:paraId="41328EF3" w14:textId="77777777" w:rsidR="009A57D4" w:rsidRPr="007C1B28" w:rsidRDefault="009A57D4" w:rsidP="002A2AEC">
      <w:pPr>
        <w:rPr>
          <w:color w:val="425254" w:themeColor="text1"/>
          <w:sz w:val="22"/>
          <w:szCs w:val="22"/>
        </w:rPr>
      </w:pPr>
    </w:p>
    <w:p w14:paraId="793A34FB" w14:textId="56A910BA" w:rsidR="002A2AEC" w:rsidRPr="007C1B28" w:rsidRDefault="009A57D4" w:rsidP="002A2AEC">
      <w:pPr>
        <w:rPr>
          <w:color w:val="425254" w:themeColor="text1"/>
          <w:sz w:val="22"/>
          <w:szCs w:val="22"/>
          <w:lang w:val="cs-CZ"/>
        </w:rPr>
      </w:pPr>
      <w:r w:rsidRPr="007C1B28">
        <w:rPr>
          <w:color w:val="425254" w:themeColor="text1"/>
          <w:sz w:val="22"/>
          <w:szCs w:val="22"/>
          <w:lang w:val="cs-CZ"/>
        </w:rPr>
        <w:t>Tento žebříček přináší pohled na osobnosti, které skutečně ovlivňují dění na trhu – ať už svými profesními úspěchy, inovacemi, nebo schopností udávat nové trendy. Výběr těch nejvlivnějších se opírá o celou řadu faktorů: od tržního podílu a finančních výsledků jejich společností, přes účast na klíčových transakcích a vedení v oblasti udržitelnosti, až po vliv na veřejnou debatu a zvyšování profesních standardů. Zohledněny jsou také úspěchy v mezinárodních i regionálních žebříčcích, plány na expanzi a aktivity, které mají přesah za hranice jednotlivých zemí.</w:t>
      </w:r>
    </w:p>
    <w:p w14:paraId="505B6DC6" w14:textId="77777777" w:rsidR="009A57D4" w:rsidRPr="007C1B28" w:rsidRDefault="009A57D4" w:rsidP="002A2AEC">
      <w:pPr>
        <w:rPr>
          <w:color w:val="425254" w:themeColor="text1"/>
          <w:sz w:val="22"/>
          <w:szCs w:val="22"/>
        </w:rPr>
      </w:pPr>
    </w:p>
    <w:p w14:paraId="490F6836" w14:textId="62B11182" w:rsidR="002A2AEC" w:rsidRPr="007C1B28" w:rsidRDefault="002A2AEC" w:rsidP="002A2AEC">
      <w:pPr>
        <w:rPr>
          <w:color w:val="425254" w:themeColor="text1"/>
          <w:sz w:val="22"/>
          <w:szCs w:val="22"/>
          <w:lang w:val="cs-CZ"/>
        </w:rPr>
      </w:pPr>
      <w:proofErr w:type="spellStart"/>
      <w:r w:rsidRPr="007C1B28">
        <w:rPr>
          <w:color w:val="425254" w:themeColor="text1"/>
          <w:sz w:val="22"/>
          <w:szCs w:val="22"/>
          <w:lang w:val="cs-CZ"/>
        </w:rPr>
        <w:t>Clare</w:t>
      </w:r>
      <w:proofErr w:type="spellEnd"/>
      <w:r w:rsidRPr="007C1B28">
        <w:rPr>
          <w:color w:val="425254" w:themeColor="text1"/>
          <w:sz w:val="22"/>
          <w:szCs w:val="22"/>
          <w:lang w:val="cs-CZ"/>
        </w:rPr>
        <w:t xml:space="preserve"> </w:t>
      </w:r>
      <w:proofErr w:type="spellStart"/>
      <w:r w:rsidRPr="007C1B28">
        <w:rPr>
          <w:color w:val="425254" w:themeColor="text1"/>
          <w:sz w:val="22"/>
          <w:szCs w:val="22"/>
          <w:lang w:val="cs-CZ"/>
        </w:rPr>
        <w:t>Sheils</w:t>
      </w:r>
      <w:proofErr w:type="spellEnd"/>
      <w:r w:rsidRPr="007C1B28">
        <w:rPr>
          <w:color w:val="425254" w:themeColor="text1"/>
          <w:sz w:val="22"/>
          <w:szCs w:val="22"/>
          <w:lang w:val="cs-CZ"/>
        </w:rPr>
        <w:t xml:space="preserve"> stojí v čele </w:t>
      </w:r>
      <w:r w:rsidR="004B40B3" w:rsidRPr="007C1B28">
        <w:rPr>
          <w:color w:val="425254" w:themeColor="text1"/>
          <w:sz w:val="22"/>
          <w:szCs w:val="22"/>
          <w:lang w:val="cs-CZ"/>
        </w:rPr>
        <w:t xml:space="preserve">tuzemské </w:t>
      </w:r>
      <w:r w:rsidRPr="007C1B28">
        <w:rPr>
          <w:color w:val="425254" w:themeColor="text1"/>
          <w:sz w:val="22"/>
          <w:szCs w:val="22"/>
          <w:lang w:val="cs-CZ"/>
        </w:rPr>
        <w:t>CBRE od roku 2020</w:t>
      </w:r>
      <w:r w:rsidR="004B40B3" w:rsidRPr="007C1B28">
        <w:rPr>
          <w:color w:val="425254" w:themeColor="text1"/>
          <w:sz w:val="22"/>
          <w:szCs w:val="22"/>
          <w:lang w:val="cs-CZ"/>
        </w:rPr>
        <w:t xml:space="preserve"> a vý</w:t>
      </w:r>
      <w:r w:rsidRPr="007C1B28">
        <w:rPr>
          <w:color w:val="425254" w:themeColor="text1"/>
          <w:sz w:val="22"/>
          <w:szCs w:val="22"/>
          <w:lang w:val="cs-CZ"/>
        </w:rPr>
        <w:t>znamně se</w:t>
      </w:r>
      <w:r w:rsidR="004B40B3" w:rsidRPr="007C1B28">
        <w:rPr>
          <w:color w:val="425254" w:themeColor="text1"/>
          <w:sz w:val="22"/>
          <w:szCs w:val="22"/>
          <w:lang w:val="cs-CZ"/>
        </w:rPr>
        <w:t xml:space="preserve"> přitom</w:t>
      </w:r>
      <w:r w:rsidRPr="007C1B28">
        <w:rPr>
          <w:color w:val="425254" w:themeColor="text1"/>
          <w:sz w:val="22"/>
          <w:szCs w:val="22"/>
          <w:lang w:val="cs-CZ"/>
        </w:rPr>
        <w:t xml:space="preserve"> podílí na formování strategických cílů a rozvoje společnosti. Pod jejím vedením CBRE realizovala některé z největších transakcí v oblasti komerčních nemovitostí</w:t>
      </w:r>
      <w:r w:rsidR="004B40B3" w:rsidRPr="007C1B28">
        <w:rPr>
          <w:color w:val="425254" w:themeColor="text1"/>
          <w:sz w:val="22"/>
          <w:szCs w:val="22"/>
          <w:lang w:val="cs-CZ"/>
        </w:rPr>
        <w:t xml:space="preserve"> jako je například prodej hotelu Hilton Prague, obchodního centra Arkády Pankrác, kancelářského komplexu </w:t>
      </w:r>
      <w:proofErr w:type="spellStart"/>
      <w:r w:rsidR="004B40B3" w:rsidRPr="007C1B28">
        <w:rPr>
          <w:color w:val="425254" w:themeColor="text1"/>
          <w:sz w:val="22"/>
          <w:szCs w:val="22"/>
          <w:lang w:val="cs-CZ"/>
        </w:rPr>
        <w:t>Waltrovka</w:t>
      </w:r>
      <w:proofErr w:type="spellEnd"/>
      <w:r w:rsidR="004B40B3" w:rsidRPr="007C1B28">
        <w:rPr>
          <w:color w:val="425254" w:themeColor="text1"/>
          <w:sz w:val="22"/>
          <w:szCs w:val="22"/>
          <w:lang w:val="cs-CZ"/>
        </w:rPr>
        <w:t xml:space="preserve"> nebo logistického areálu Ostrava </w:t>
      </w:r>
      <w:proofErr w:type="spellStart"/>
      <w:r w:rsidR="004B40B3" w:rsidRPr="007C1B28">
        <w:rPr>
          <w:color w:val="425254" w:themeColor="text1"/>
          <w:sz w:val="22"/>
          <w:szCs w:val="22"/>
          <w:lang w:val="cs-CZ"/>
        </w:rPr>
        <w:t>Airport</w:t>
      </w:r>
      <w:proofErr w:type="spellEnd"/>
      <w:r w:rsidR="004B40B3" w:rsidRPr="007C1B28">
        <w:rPr>
          <w:color w:val="425254" w:themeColor="text1"/>
          <w:sz w:val="22"/>
          <w:szCs w:val="22"/>
          <w:lang w:val="cs-CZ"/>
        </w:rPr>
        <w:t xml:space="preserve"> </w:t>
      </w:r>
      <w:proofErr w:type="spellStart"/>
      <w:r w:rsidR="004B40B3" w:rsidRPr="007C1B28">
        <w:rPr>
          <w:color w:val="425254" w:themeColor="text1"/>
          <w:sz w:val="22"/>
          <w:szCs w:val="22"/>
          <w:lang w:val="cs-CZ"/>
        </w:rPr>
        <w:t>Multimodal</w:t>
      </w:r>
      <w:proofErr w:type="spellEnd"/>
      <w:r w:rsidR="004B40B3" w:rsidRPr="007C1B28">
        <w:rPr>
          <w:color w:val="425254" w:themeColor="text1"/>
          <w:sz w:val="22"/>
          <w:szCs w:val="22"/>
          <w:lang w:val="cs-CZ"/>
        </w:rPr>
        <w:t xml:space="preserve"> Park</w:t>
      </w:r>
      <w:r w:rsidRPr="007C1B28">
        <w:rPr>
          <w:color w:val="425254" w:themeColor="text1"/>
          <w:sz w:val="22"/>
          <w:szCs w:val="22"/>
          <w:lang w:val="cs-CZ"/>
        </w:rPr>
        <w:t xml:space="preserve">, přičemž klade silný důraz na udržitelnost, energetickou efektivitu a inovace v souladu s principy ESG. </w:t>
      </w:r>
      <w:proofErr w:type="spellStart"/>
      <w:r w:rsidRPr="007C1B28">
        <w:rPr>
          <w:color w:val="425254" w:themeColor="text1"/>
          <w:sz w:val="22"/>
          <w:szCs w:val="22"/>
          <w:lang w:val="cs-CZ"/>
        </w:rPr>
        <w:t>Clare</w:t>
      </w:r>
      <w:proofErr w:type="spellEnd"/>
      <w:r w:rsidRPr="007C1B28">
        <w:rPr>
          <w:color w:val="425254" w:themeColor="text1"/>
          <w:sz w:val="22"/>
          <w:szCs w:val="22"/>
          <w:lang w:val="cs-CZ"/>
        </w:rPr>
        <w:t xml:space="preserve"> </w:t>
      </w:r>
      <w:proofErr w:type="spellStart"/>
      <w:r w:rsidRPr="007C1B28">
        <w:rPr>
          <w:color w:val="425254" w:themeColor="text1"/>
          <w:sz w:val="22"/>
          <w:szCs w:val="22"/>
          <w:lang w:val="cs-CZ"/>
        </w:rPr>
        <w:t>Sheils</w:t>
      </w:r>
      <w:proofErr w:type="spellEnd"/>
      <w:r w:rsidRPr="007C1B28">
        <w:rPr>
          <w:color w:val="425254" w:themeColor="text1"/>
          <w:sz w:val="22"/>
          <w:szCs w:val="22"/>
          <w:lang w:val="cs-CZ"/>
        </w:rPr>
        <w:t xml:space="preserve"> je pravidelně zvána jako odborný komentátor a řečník významných realitních konferencí a jejím názorem se řídí řada investorů i developerů v regionu.</w:t>
      </w:r>
    </w:p>
    <w:p w14:paraId="6F1DB02A" w14:textId="77777777" w:rsidR="002A2AEC" w:rsidRPr="007C1B28" w:rsidRDefault="002A2AEC" w:rsidP="002A2AEC">
      <w:pPr>
        <w:rPr>
          <w:color w:val="425254" w:themeColor="text1"/>
          <w:sz w:val="22"/>
          <w:szCs w:val="22"/>
        </w:rPr>
      </w:pPr>
    </w:p>
    <w:p w14:paraId="5EDF9B5D" w14:textId="5AF24162" w:rsidR="002A2AEC" w:rsidRDefault="002A2AEC" w:rsidP="002A2AEC">
      <w:pPr>
        <w:rPr>
          <w:color w:val="425254" w:themeColor="text1"/>
          <w:sz w:val="22"/>
          <w:szCs w:val="22"/>
          <w:lang w:val="cs-CZ"/>
        </w:rPr>
      </w:pPr>
      <w:r w:rsidRPr="006D2927">
        <w:rPr>
          <w:i/>
          <w:iCs/>
          <w:color w:val="425254" w:themeColor="text1"/>
          <w:sz w:val="22"/>
          <w:szCs w:val="22"/>
          <w:lang w:val="cs-CZ"/>
        </w:rPr>
        <w:t xml:space="preserve">„Je mi ctí být zařazena mezi tak významné osobnosti a sdílet toto ocenění s ostatními lídry trhu. </w:t>
      </w:r>
      <w:r w:rsidR="006D2927">
        <w:rPr>
          <w:i/>
          <w:iCs/>
          <w:color w:val="425254" w:themeColor="text1"/>
          <w:sz w:val="22"/>
          <w:szCs w:val="22"/>
          <w:lang w:val="cs-CZ"/>
        </w:rPr>
        <w:t>S</w:t>
      </w:r>
      <w:r w:rsidR="006D2927" w:rsidRPr="006D2927">
        <w:rPr>
          <w:i/>
          <w:iCs/>
          <w:color w:val="425254" w:themeColor="text1"/>
          <w:sz w:val="22"/>
          <w:szCs w:val="22"/>
          <w:lang w:val="cs-CZ"/>
        </w:rPr>
        <w:t xml:space="preserve">kutečnost, že jsem byla vybrána, svědčí o kvalitách celého týmu CBRE. </w:t>
      </w:r>
      <w:r w:rsidR="006D2927">
        <w:rPr>
          <w:i/>
          <w:iCs/>
          <w:color w:val="425254" w:themeColor="text1"/>
          <w:sz w:val="22"/>
          <w:szCs w:val="22"/>
          <w:lang w:val="cs-CZ"/>
        </w:rPr>
        <w:t>Společně v</w:t>
      </w:r>
      <w:r w:rsidRPr="006D2927">
        <w:rPr>
          <w:i/>
          <w:iCs/>
          <w:color w:val="425254" w:themeColor="text1"/>
          <w:sz w:val="22"/>
          <w:szCs w:val="22"/>
          <w:lang w:val="cs-CZ"/>
        </w:rPr>
        <w:t>ěřím</w:t>
      </w:r>
      <w:r w:rsidR="006D2927" w:rsidRPr="006D2927">
        <w:rPr>
          <w:i/>
          <w:iCs/>
          <w:color w:val="425254" w:themeColor="text1"/>
          <w:sz w:val="22"/>
          <w:szCs w:val="22"/>
          <w:lang w:val="cs-CZ"/>
        </w:rPr>
        <w:t>e</w:t>
      </w:r>
      <w:r w:rsidRPr="006D2927">
        <w:rPr>
          <w:i/>
          <w:iCs/>
          <w:color w:val="425254" w:themeColor="text1"/>
          <w:sz w:val="22"/>
          <w:szCs w:val="22"/>
          <w:lang w:val="cs-CZ"/>
        </w:rPr>
        <w:t>, že diverzita, inovace a udržitelný přístup jsou klíčovými faktory budoucího rozvoje realitního sektoru v České republice i na Slovensku,“</w:t>
      </w:r>
      <w:r w:rsidRPr="006D2927">
        <w:rPr>
          <w:color w:val="425254" w:themeColor="text1"/>
          <w:sz w:val="22"/>
          <w:szCs w:val="22"/>
          <w:lang w:val="cs-CZ"/>
        </w:rPr>
        <w:t xml:space="preserve"> komentuje </w:t>
      </w:r>
      <w:proofErr w:type="spellStart"/>
      <w:r w:rsidRPr="006D2927">
        <w:rPr>
          <w:b/>
          <w:bCs/>
          <w:color w:val="425254" w:themeColor="text1"/>
          <w:sz w:val="22"/>
          <w:szCs w:val="22"/>
          <w:lang w:val="cs-CZ"/>
        </w:rPr>
        <w:t>Clare</w:t>
      </w:r>
      <w:proofErr w:type="spellEnd"/>
      <w:r w:rsidRPr="006D2927">
        <w:rPr>
          <w:b/>
          <w:bCs/>
          <w:color w:val="425254" w:themeColor="text1"/>
          <w:sz w:val="22"/>
          <w:szCs w:val="22"/>
          <w:lang w:val="cs-CZ"/>
        </w:rPr>
        <w:t xml:space="preserve"> </w:t>
      </w:r>
      <w:proofErr w:type="spellStart"/>
      <w:r w:rsidRPr="006D2927">
        <w:rPr>
          <w:b/>
          <w:bCs/>
          <w:color w:val="425254" w:themeColor="text1"/>
          <w:sz w:val="22"/>
          <w:szCs w:val="22"/>
          <w:lang w:val="cs-CZ"/>
        </w:rPr>
        <w:t>Sheils</w:t>
      </w:r>
      <w:proofErr w:type="spellEnd"/>
      <w:r w:rsidRPr="006D2927">
        <w:rPr>
          <w:color w:val="425254" w:themeColor="text1"/>
          <w:sz w:val="22"/>
          <w:szCs w:val="22"/>
          <w:lang w:val="cs-CZ"/>
        </w:rPr>
        <w:t xml:space="preserve"> své zařazení do žebříčku.</w:t>
      </w:r>
    </w:p>
    <w:p w14:paraId="12135F99" w14:textId="77777777" w:rsidR="00770BA3" w:rsidRPr="006D2927" w:rsidRDefault="00770BA3" w:rsidP="002A2AEC">
      <w:pPr>
        <w:rPr>
          <w:color w:val="425254" w:themeColor="text1"/>
          <w:sz w:val="22"/>
          <w:szCs w:val="22"/>
          <w:lang w:val="cs-CZ"/>
        </w:rPr>
      </w:pPr>
    </w:p>
    <w:p w14:paraId="776D94E3" w14:textId="59191113" w:rsidR="002A2AEC" w:rsidRPr="007C1B28" w:rsidRDefault="002A2AEC" w:rsidP="002A2AEC">
      <w:pPr>
        <w:rPr>
          <w:color w:val="425254" w:themeColor="text1"/>
          <w:sz w:val="22"/>
          <w:szCs w:val="22"/>
          <w:lang w:val="cs-CZ"/>
        </w:rPr>
      </w:pPr>
      <w:r w:rsidRPr="007C1B28">
        <w:rPr>
          <w:color w:val="425254" w:themeColor="text1"/>
          <w:sz w:val="22"/>
          <w:szCs w:val="22"/>
          <w:lang w:val="cs-CZ"/>
        </w:rPr>
        <w:t xml:space="preserve">Více informací o celkovém žebříčku naleznete na </w:t>
      </w:r>
      <w:hyperlink r:id="rId9" w:history="1">
        <w:r w:rsidRPr="007C1B28">
          <w:rPr>
            <w:rStyle w:val="Hypertextovodkaz"/>
            <w:sz w:val="22"/>
            <w:szCs w:val="22"/>
            <w:lang w:val="cs-CZ"/>
          </w:rPr>
          <w:t>https://www.property-forum.eu/publications</w:t>
        </w:r>
      </w:hyperlink>
      <w:r w:rsidRPr="007C1B28">
        <w:rPr>
          <w:color w:val="425254" w:themeColor="text1"/>
          <w:sz w:val="22"/>
          <w:szCs w:val="22"/>
          <w:lang w:val="cs-CZ"/>
        </w:rPr>
        <w:t>.</w:t>
      </w:r>
    </w:p>
    <w:p w14:paraId="031DAEAC" w14:textId="77777777" w:rsidR="007C1B28" w:rsidRPr="007C1B28" w:rsidRDefault="007C1B28" w:rsidP="007C1B28">
      <w:pPr>
        <w:rPr>
          <w:color w:val="425254" w:themeColor="text1"/>
          <w:sz w:val="22"/>
          <w:szCs w:val="22"/>
        </w:rPr>
      </w:pPr>
    </w:p>
    <w:p w14:paraId="1EC945A1" w14:textId="0CFA5E7B" w:rsidR="00162C07" w:rsidRPr="007C1B28" w:rsidRDefault="00162C07" w:rsidP="00D92A6B">
      <w:pPr>
        <w:rPr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92A6B" w:rsidRPr="007C1B28" w14:paraId="59A8C662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4C54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proofErr w:type="spellStart"/>
            <w:r w:rsidRPr="007C1B28">
              <w:rPr>
                <w:b/>
                <w:bCs/>
                <w:sz w:val="21"/>
                <w:szCs w:val="21"/>
              </w:rPr>
              <w:t>Kontakty</w:t>
            </w:r>
            <w:proofErr w:type="spellEnd"/>
            <w:r w:rsidRPr="007C1B28">
              <w:rPr>
                <w:b/>
                <w:bCs/>
                <w:sz w:val="21"/>
                <w:szCs w:val="21"/>
              </w:rPr>
              <w:t>:</w:t>
            </w:r>
            <w:r w:rsidRPr="007C1B28">
              <w:rPr>
                <w:sz w:val="21"/>
                <w:szCs w:val="21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125A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 </w:t>
            </w:r>
          </w:p>
        </w:tc>
      </w:tr>
      <w:tr w:rsidR="00D92A6B" w:rsidRPr="007C1B28" w14:paraId="03C64F84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8694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b/>
                <w:bCs/>
                <w:sz w:val="21"/>
                <w:szCs w:val="21"/>
              </w:rPr>
              <w:t xml:space="preserve">Crest Communications, </w:t>
            </w:r>
            <w:proofErr w:type="spellStart"/>
            <w:r w:rsidRPr="007C1B28">
              <w:rPr>
                <w:b/>
                <w:bCs/>
                <w:sz w:val="21"/>
                <w:szCs w:val="21"/>
              </w:rPr>
              <w:t>a.s.</w:t>
            </w:r>
            <w:proofErr w:type="spellEnd"/>
            <w:r w:rsidRPr="007C1B28">
              <w:rPr>
                <w:sz w:val="21"/>
                <w:szCs w:val="21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A199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 </w:t>
            </w:r>
          </w:p>
        </w:tc>
      </w:tr>
      <w:tr w:rsidR="00D92A6B" w:rsidRPr="007C1B28" w14:paraId="2BA34FB8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21C4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Denisa Kolaříková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397E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Kamila Čadková </w:t>
            </w:r>
          </w:p>
        </w:tc>
      </w:tr>
      <w:tr w:rsidR="00D92A6B" w:rsidRPr="007C1B28" w14:paraId="65E28DA6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217B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Account Manager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4B25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Account Director </w:t>
            </w:r>
          </w:p>
        </w:tc>
      </w:tr>
      <w:tr w:rsidR="00D92A6B" w:rsidRPr="007C1B28" w14:paraId="474413C5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16E3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T: +420 731 613 606    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C66E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T: +420 731 613 609 </w:t>
            </w:r>
          </w:p>
        </w:tc>
      </w:tr>
      <w:tr w:rsidR="00D92A6B" w:rsidRPr="007C1B28" w14:paraId="4B5CE4A1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540C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 xml:space="preserve">e-mail: </w:t>
            </w:r>
            <w:hyperlink r:id="rId10" w:tgtFrame="_blank" w:history="1">
              <w:r w:rsidRPr="007C1B28">
                <w:rPr>
                  <w:rStyle w:val="Hypertextovodkaz"/>
                  <w:sz w:val="21"/>
                  <w:szCs w:val="21"/>
                </w:rPr>
                <w:t>denisa.kolarikova@crestcom.cz</w:t>
              </w:r>
            </w:hyperlink>
            <w:r w:rsidRPr="007C1B28">
              <w:rPr>
                <w:sz w:val="21"/>
                <w:szCs w:val="21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FFDEB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 xml:space="preserve">e-mail: </w:t>
            </w:r>
            <w:hyperlink r:id="rId11" w:tgtFrame="_blank" w:history="1">
              <w:r w:rsidRPr="007C1B28">
                <w:rPr>
                  <w:rStyle w:val="Hypertextovodkaz"/>
                  <w:sz w:val="21"/>
                  <w:szCs w:val="21"/>
                </w:rPr>
                <w:t>kamila.cadkova@crestcom.cz</w:t>
              </w:r>
            </w:hyperlink>
            <w:r w:rsidRPr="007C1B28">
              <w:rPr>
                <w:sz w:val="21"/>
                <w:szCs w:val="21"/>
              </w:rPr>
              <w:t> </w:t>
            </w:r>
          </w:p>
        </w:tc>
      </w:tr>
      <w:tr w:rsidR="00D92A6B" w:rsidRPr="007C1B28" w14:paraId="7F201441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BE089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hyperlink r:id="rId12" w:tgtFrame="_blank" w:history="1">
              <w:r w:rsidRPr="007C1B28">
                <w:rPr>
                  <w:rStyle w:val="Hypertextovodkaz"/>
                  <w:sz w:val="21"/>
                  <w:szCs w:val="21"/>
                </w:rPr>
                <w:t>www.crestcom.cz</w:t>
              </w:r>
            </w:hyperlink>
            <w:r w:rsidRPr="007C1B28">
              <w:rPr>
                <w:sz w:val="21"/>
                <w:szCs w:val="21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BEC3" w14:textId="77777777" w:rsidR="00D92A6B" w:rsidRPr="007C1B28" w:rsidRDefault="00D92A6B" w:rsidP="00D92A6B">
            <w:pPr>
              <w:pStyle w:val="BodyCopy"/>
              <w:rPr>
                <w:sz w:val="21"/>
                <w:szCs w:val="21"/>
              </w:rPr>
            </w:pPr>
            <w:r w:rsidRPr="007C1B28">
              <w:rPr>
                <w:sz w:val="21"/>
                <w:szCs w:val="21"/>
              </w:rPr>
              <w:t> </w:t>
            </w:r>
          </w:p>
        </w:tc>
      </w:tr>
    </w:tbl>
    <w:p w14:paraId="0CB60484" w14:textId="77777777" w:rsidR="00D92A6B" w:rsidRPr="007C1B28" w:rsidRDefault="00D92A6B" w:rsidP="00D92A6B">
      <w:pPr>
        <w:pStyle w:val="BodyCopy"/>
        <w:rPr>
          <w:sz w:val="21"/>
          <w:szCs w:val="21"/>
        </w:rPr>
      </w:pPr>
      <w:r w:rsidRPr="007C1B28">
        <w:rPr>
          <w:sz w:val="21"/>
          <w:szCs w:val="21"/>
        </w:rPr>
        <w:t> </w:t>
      </w:r>
    </w:p>
    <w:p w14:paraId="3DD7FC04" w14:textId="77777777" w:rsidR="00D92A6B" w:rsidRPr="007C1B28" w:rsidRDefault="00D92A6B" w:rsidP="00D92A6B">
      <w:pPr>
        <w:pStyle w:val="BodyCopy"/>
        <w:rPr>
          <w:sz w:val="21"/>
          <w:szCs w:val="21"/>
        </w:rPr>
      </w:pPr>
      <w:r w:rsidRPr="007C1B28">
        <w:rPr>
          <w:b/>
          <w:bCs/>
          <w:sz w:val="21"/>
          <w:szCs w:val="21"/>
        </w:rPr>
        <w:t>CBRE </w:t>
      </w:r>
      <w:r w:rsidRPr="007C1B28">
        <w:rPr>
          <w:sz w:val="21"/>
          <w:szCs w:val="21"/>
        </w:rPr>
        <w:t>  </w:t>
      </w:r>
    </w:p>
    <w:p w14:paraId="21EC0AE8" w14:textId="77777777" w:rsidR="00D92A6B" w:rsidRPr="007C1B28" w:rsidRDefault="00D92A6B" w:rsidP="00D92A6B">
      <w:pPr>
        <w:pStyle w:val="BodyCopy"/>
        <w:rPr>
          <w:sz w:val="21"/>
          <w:szCs w:val="21"/>
        </w:rPr>
      </w:pPr>
      <w:r w:rsidRPr="007C1B28">
        <w:rPr>
          <w:sz w:val="21"/>
          <w:szCs w:val="21"/>
        </w:rPr>
        <w:t xml:space="preserve">Ivana Procházková, Communication Specialist, +420 771 288 023, </w:t>
      </w:r>
      <w:hyperlink r:id="rId13" w:tgtFrame="_blank" w:history="1">
        <w:r w:rsidRPr="007C1B28">
          <w:rPr>
            <w:rStyle w:val="Hypertextovodkaz"/>
            <w:sz w:val="21"/>
            <w:szCs w:val="21"/>
          </w:rPr>
          <w:t>ivana.prochazkova@cbre.com</w:t>
        </w:r>
      </w:hyperlink>
      <w:r w:rsidRPr="007C1B28">
        <w:rPr>
          <w:sz w:val="21"/>
          <w:szCs w:val="21"/>
        </w:rPr>
        <w:t>    </w:t>
      </w:r>
    </w:p>
    <w:p w14:paraId="776B3DDF" w14:textId="77777777" w:rsidR="00D92A6B" w:rsidRPr="007C1B28" w:rsidRDefault="00D92A6B" w:rsidP="00D92A6B">
      <w:pPr>
        <w:pStyle w:val="BodyCopy"/>
        <w:rPr>
          <w:sz w:val="21"/>
          <w:szCs w:val="21"/>
        </w:rPr>
      </w:pPr>
      <w:r w:rsidRPr="007C1B28">
        <w:rPr>
          <w:sz w:val="21"/>
          <w:szCs w:val="21"/>
        </w:rPr>
        <w:t xml:space="preserve">CBRE Česká </w:t>
      </w:r>
      <w:proofErr w:type="spellStart"/>
      <w:r w:rsidRPr="007C1B28">
        <w:rPr>
          <w:sz w:val="21"/>
          <w:szCs w:val="21"/>
        </w:rPr>
        <w:t>republika</w:t>
      </w:r>
      <w:proofErr w:type="spellEnd"/>
      <w:r w:rsidRPr="007C1B28">
        <w:rPr>
          <w:sz w:val="21"/>
          <w:szCs w:val="21"/>
        </w:rPr>
        <w:t> </w:t>
      </w:r>
      <w:hyperlink r:id="rId14" w:tgtFrame="_blank" w:history="1">
        <w:r w:rsidRPr="007C1B28">
          <w:rPr>
            <w:rStyle w:val="Hypertextovodkaz"/>
            <w:sz w:val="21"/>
            <w:szCs w:val="21"/>
          </w:rPr>
          <w:t>Facebook</w:t>
        </w:r>
      </w:hyperlink>
      <w:r w:rsidRPr="007C1B28">
        <w:rPr>
          <w:sz w:val="21"/>
          <w:szCs w:val="21"/>
        </w:rPr>
        <w:t xml:space="preserve">, </w:t>
      </w:r>
      <w:hyperlink r:id="rId15" w:tgtFrame="_blank" w:history="1">
        <w:r w:rsidRPr="007C1B28">
          <w:rPr>
            <w:rStyle w:val="Hypertextovodkaz"/>
            <w:sz w:val="21"/>
            <w:szCs w:val="21"/>
          </w:rPr>
          <w:t>LinkedIn</w:t>
        </w:r>
      </w:hyperlink>
      <w:r w:rsidRPr="007C1B28">
        <w:rPr>
          <w:sz w:val="21"/>
          <w:szCs w:val="21"/>
          <w:u w:val="single"/>
        </w:rPr>
        <w:t>,</w:t>
      </w:r>
      <w:r w:rsidRPr="007C1B28">
        <w:rPr>
          <w:sz w:val="21"/>
          <w:szCs w:val="21"/>
        </w:rPr>
        <w:t xml:space="preserve"> </w:t>
      </w:r>
      <w:hyperlink r:id="rId16" w:tgtFrame="_blank" w:history="1">
        <w:r w:rsidRPr="007C1B28">
          <w:rPr>
            <w:rStyle w:val="Hypertextovodkaz"/>
            <w:sz w:val="21"/>
            <w:szCs w:val="21"/>
          </w:rPr>
          <w:t>Instagram</w:t>
        </w:r>
      </w:hyperlink>
      <w:r w:rsidRPr="007C1B28">
        <w:rPr>
          <w:b/>
          <w:bCs/>
          <w:sz w:val="21"/>
          <w:szCs w:val="21"/>
        </w:rPr>
        <w:t> </w:t>
      </w:r>
      <w:r w:rsidRPr="007C1B28">
        <w:rPr>
          <w:sz w:val="21"/>
          <w:szCs w:val="21"/>
        </w:rPr>
        <w:t>  </w:t>
      </w:r>
    </w:p>
    <w:p w14:paraId="68317AD0" w14:textId="77777777" w:rsidR="00D92A6B" w:rsidRPr="007C1B28" w:rsidRDefault="00D92A6B" w:rsidP="00D92A6B">
      <w:pPr>
        <w:pStyle w:val="BodyCopy"/>
      </w:pPr>
      <w:r w:rsidRPr="007C1B28">
        <w:t>  </w:t>
      </w:r>
    </w:p>
    <w:p w14:paraId="227C0F0E" w14:textId="56E37C11" w:rsidR="00D92A6B" w:rsidRPr="007C1B28" w:rsidRDefault="00D92A6B" w:rsidP="00D92A6B">
      <w:pPr>
        <w:pStyle w:val="Boilerplate"/>
        <w:jc w:val="both"/>
        <w:rPr>
          <w:bCs/>
          <w:color w:val="808080" w:themeColor="background1" w:themeShade="80"/>
          <w:u w:val="single"/>
          <w:lang w:val="cs-CZ"/>
        </w:rPr>
      </w:pPr>
      <w:r w:rsidRPr="007C1B28">
        <w:rPr>
          <w:bCs/>
          <w:color w:val="808080" w:themeColor="background1" w:themeShade="80"/>
          <w:u w:val="single"/>
          <w:lang w:val="cs-CZ"/>
        </w:rPr>
        <w:t>O CBRE</w:t>
      </w:r>
    </w:p>
    <w:p w14:paraId="0C5A548C" w14:textId="2E8F9523" w:rsidR="00D92A6B" w:rsidRPr="007C1B28" w:rsidRDefault="00D92A6B" w:rsidP="00D92A6B">
      <w:pPr>
        <w:pStyle w:val="Boilerplate"/>
        <w:jc w:val="both"/>
        <w:rPr>
          <w:color w:val="808080" w:themeColor="background1" w:themeShade="80"/>
          <w:lang w:val="cs-CZ"/>
        </w:rPr>
      </w:pPr>
      <w:r w:rsidRPr="007C1B28">
        <w:rPr>
          <w:color w:val="808080" w:themeColor="background1" w:themeShade="80"/>
          <w:lang w:val="cs-CZ"/>
        </w:rPr>
        <w:t xml:space="preserve">CBRE Group, Inc. (NYSE:CBRE), společnost figurující na žebříčku </w:t>
      </w:r>
      <w:proofErr w:type="spellStart"/>
      <w:r w:rsidRPr="007C1B28">
        <w:rPr>
          <w:color w:val="808080" w:themeColor="background1" w:themeShade="80"/>
          <w:lang w:val="cs-CZ"/>
        </w:rPr>
        <w:t>Fortune</w:t>
      </w:r>
      <w:proofErr w:type="spellEnd"/>
      <w:r w:rsidRPr="007C1B28">
        <w:rPr>
          <w:color w:val="808080" w:themeColor="background1" w:themeShade="80"/>
          <w:lang w:val="cs-CZ"/>
        </w:rPr>
        <w:t xml:space="preserve"> 500 a indexu S&amp;P 500 se sídlem v Dallasu, je světovým lídrem v oblasti komerčních realitních služeb a investic (z hlediska výnosů za rok 2024). S přibližně 140 000 zaměstnanci (vyjma zaměstnanců společnosti Turner &amp; </w:t>
      </w:r>
      <w:proofErr w:type="spellStart"/>
      <w:r w:rsidRPr="007C1B28">
        <w:rPr>
          <w:color w:val="808080" w:themeColor="background1" w:themeShade="80"/>
          <w:lang w:val="cs-CZ"/>
        </w:rPr>
        <w:t>Townsend</w:t>
      </w:r>
      <w:proofErr w:type="spellEnd"/>
      <w:r w:rsidRPr="007C1B28">
        <w:rPr>
          <w:color w:val="808080" w:themeColor="background1" w:themeShade="80"/>
          <w:lang w:val="cs-CZ"/>
        </w:rPr>
        <w:t xml:space="preserve">) je k dispozici klientům ve více než 100 zemích světa. Společnost CBRE poskytuje širokou škálu integrovaných služeb od správy a údržby nemovitostí, obchodních transakcí, </w:t>
      </w:r>
      <w:r w:rsidRPr="007C1B28">
        <w:rPr>
          <w:color w:val="808080" w:themeColor="background1" w:themeShade="80"/>
          <w:lang w:val="cs-CZ"/>
        </w:rPr>
        <w:lastRenderedPageBreak/>
        <w:t xml:space="preserve">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1,5 mil. m2. Pro více informací navštivte internetové stránky společnosti na </w:t>
      </w:r>
      <w:hyperlink r:id="rId17" w:history="1">
        <w:r w:rsidRPr="007C1B28">
          <w:rPr>
            <w:rStyle w:val="Hypertextovodkaz"/>
            <w:lang w:val="cs-CZ"/>
          </w:rPr>
          <w:t>www.cbre.cz</w:t>
        </w:r>
      </w:hyperlink>
      <w:r w:rsidRPr="007C1B28">
        <w:rPr>
          <w:color w:val="808080" w:themeColor="background1" w:themeShade="80"/>
          <w:lang w:val="cs-CZ"/>
        </w:rPr>
        <w:t>.  </w:t>
      </w:r>
    </w:p>
    <w:sectPr w:rsidR="00D92A6B" w:rsidRPr="007C1B28" w:rsidSect="00E01C37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F920" w14:textId="77777777" w:rsidR="0063427E" w:rsidRPr="007C1B28" w:rsidRDefault="0063427E" w:rsidP="00C63036">
      <w:r w:rsidRPr="007C1B28">
        <w:separator/>
      </w:r>
    </w:p>
  </w:endnote>
  <w:endnote w:type="continuationSeparator" w:id="0">
    <w:p w14:paraId="2DF83A33" w14:textId="77777777" w:rsidR="0063427E" w:rsidRPr="007C1B28" w:rsidRDefault="0063427E" w:rsidP="00C63036">
      <w:r w:rsidRPr="007C1B28">
        <w:continuationSeparator/>
      </w:r>
    </w:p>
  </w:endnote>
  <w:endnote w:type="continuationNotice" w:id="1">
    <w:p w14:paraId="1AB0B213" w14:textId="77777777" w:rsidR="0063427E" w:rsidRPr="007C1B28" w:rsidRDefault="00634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CEA0" w14:textId="77777777" w:rsidR="0063427E" w:rsidRPr="007C1B28" w:rsidRDefault="0063427E" w:rsidP="00C63036">
      <w:r w:rsidRPr="007C1B28">
        <w:separator/>
      </w:r>
    </w:p>
  </w:footnote>
  <w:footnote w:type="continuationSeparator" w:id="0">
    <w:p w14:paraId="66745970" w14:textId="77777777" w:rsidR="0063427E" w:rsidRPr="007C1B28" w:rsidRDefault="0063427E" w:rsidP="00C63036">
      <w:r w:rsidRPr="007C1B28">
        <w:continuationSeparator/>
      </w:r>
    </w:p>
  </w:footnote>
  <w:footnote w:type="continuationNotice" w:id="1">
    <w:p w14:paraId="1D6C54C3" w14:textId="77777777" w:rsidR="0063427E" w:rsidRPr="007C1B28" w:rsidRDefault="006342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EFA8" w14:textId="40162E0F" w:rsidR="00E30CD4" w:rsidRPr="007C1B28" w:rsidRDefault="00E30CD4" w:rsidP="0094537E">
    <w:pPr>
      <w:pStyle w:val="Zhlav"/>
      <w:jc w:val="right"/>
    </w:pPr>
    <w:r w:rsidRPr="007C1B28">
      <w:rPr>
        <w:rFonts w:ascii="Calibre" w:hAnsi="Calibre"/>
        <w:color w:val="003D30" w:themeColor="accent6"/>
        <w:sz w:val="16"/>
      </w:rPr>
      <w:t xml:space="preserve">CBRE </w:t>
    </w:r>
    <w:proofErr w:type="spellStart"/>
    <w:r w:rsidR="00D92A6B" w:rsidRPr="007C1B28">
      <w:rPr>
        <w:rFonts w:ascii="Calibre" w:hAnsi="Calibre"/>
        <w:color w:val="003D30" w:themeColor="accent6"/>
        <w:sz w:val="16"/>
      </w:rPr>
      <w:t>Tisková</w:t>
    </w:r>
    <w:proofErr w:type="spellEnd"/>
    <w:r w:rsidR="00D92A6B" w:rsidRPr="007C1B28">
      <w:rPr>
        <w:rFonts w:ascii="Calibre" w:hAnsi="Calibre"/>
        <w:color w:val="003D30" w:themeColor="accent6"/>
        <w:sz w:val="16"/>
      </w:rPr>
      <w:t xml:space="preserve"> </w:t>
    </w:r>
    <w:proofErr w:type="spellStart"/>
    <w:r w:rsidR="00D92A6B" w:rsidRPr="007C1B28">
      <w:rPr>
        <w:rFonts w:ascii="Calibre" w:hAnsi="Calibre"/>
        <w:color w:val="003D30" w:themeColor="accent6"/>
        <w:sz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976E" w14:textId="77777777" w:rsidR="00E30CD4" w:rsidRPr="007C1B28" w:rsidRDefault="00E30CD4">
    <w:pPr>
      <w:pStyle w:val="Zhlav"/>
    </w:pPr>
    <w:r w:rsidRPr="007C1B2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3D6E82" id="Straight Connecto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7C1B28">
      <w:rPr>
        <w:noProof/>
      </w:rPr>
      <w:drawing>
        <wp:anchor distT="0" distB="0" distL="114300" distR="114300" simplePos="0" relativeHeight="251658242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1B2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2E88C" w14:textId="7AE5473E" w:rsidR="00E30CD4" w:rsidRPr="007C1B28" w:rsidRDefault="00D92A6B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proofErr w:type="spellStart"/>
                          <w:r w:rsidRPr="007C1B28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</w:t>
                          </w:r>
                          <w:proofErr w:type="spellEnd"/>
                          <w:r w:rsidRPr="007C1B28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</w:t>
                          </w:r>
                          <w:proofErr w:type="spellStart"/>
                          <w:r w:rsidRPr="007C1B28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zpráva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2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6DA2E88C" w14:textId="7AE5473E" w:rsidR="00E30CD4" w:rsidRPr="007C1B28" w:rsidRDefault="00D92A6B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proofErr w:type="spellStart"/>
                    <w:r w:rsidRPr="007C1B28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</w:t>
                    </w:r>
                    <w:proofErr w:type="spellEnd"/>
                    <w:r w:rsidRPr="007C1B28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Pr="007C1B28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zpráva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03B8F"/>
    <w:rsid w:val="000060F0"/>
    <w:rsid w:val="000065CB"/>
    <w:rsid w:val="0002350E"/>
    <w:rsid w:val="00027A58"/>
    <w:rsid w:val="00031661"/>
    <w:rsid w:val="00031C0A"/>
    <w:rsid w:val="00043F8E"/>
    <w:rsid w:val="000572C5"/>
    <w:rsid w:val="00061034"/>
    <w:rsid w:val="00064B63"/>
    <w:rsid w:val="00065F36"/>
    <w:rsid w:val="00073689"/>
    <w:rsid w:val="00085778"/>
    <w:rsid w:val="00086000"/>
    <w:rsid w:val="00087C05"/>
    <w:rsid w:val="000A542D"/>
    <w:rsid w:val="000B6295"/>
    <w:rsid w:val="000B642B"/>
    <w:rsid w:val="000C1730"/>
    <w:rsid w:val="000C28F1"/>
    <w:rsid w:val="000C4059"/>
    <w:rsid w:val="000C5ABF"/>
    <w:rsid w:val="000C5BA9"/>
    <w:rsid w:val="000C7040"/>
    <w:rsid w:val="000D153D"/>
    <w:rsid w:val="000E3EC9"/>
    <w:rsid w:val="00107912"/>
    <w:rsid w:val="00111DB2"/>
    <w:rsid w:val="001236E0"/>
    <w:rsid w:val="001300F4"/>
    <w:rsid w:val="0013470D"/>
    <w:rsid w:val="00136C3A"/>
    <w:rsid w:val="0013743F"/>
    <w:rsid w:val="00140E0A"/>
    <w:rsid w:val="00142145"/>
    <w:rsid w:val="001458C7"/>
    <w:rsid w:val="00151AD8"/>
    <w:rsid w:val="00157032"/>
    <w:rsid w:val="00162C07"/>
    <w:rsid w:val="001760A1"/>
    <w:rsid w:val="0018323D"/>
    <w:rsid w:val="001A2316"/>
    <w:rsid w:val="001A280B"/>
    <w:rsid w:val="001A2B9C"/>
    <w:rsid w:val="001C3542"/>
    <w:rsid w:val="001C6128"/>
    <w:rsid w:val="001C651A"/>
    <w:rsid w:val="001C6FD8"/>
    <w:rsid w:val="001C7A8E"/>
    <w:rsid w:val="001D15CA"/>
    <w:rsid w:val="001D2195"/>
    <w:rsid w:val="001D48C8"/>
    <w:rsid w:val="001E0021"/>
    <w:rsid w:val="00200B34"/>
    <w:rsid w:val="00200F6E"/>
    <w:rsid w:val="00212B42"/>
    <w:rsid w:val="00214804"/>
    <w:rsid w:val="00223B25"/>
    <w:rsid w:val="002246B0"/>
    <w:rsid w:val="0024756C"/>
    <w:rsid w:val="00257B6D"/>
    <w:rsid w:val="00262BA0"/>
    <w:rsid w:val="00272ADA"/>
    <w:rsid w:val="002739C3"/>
    <w:rsid w:val="00277BA5"/>
    <w:rsid w:val="00280100"/>
    <w:rsid w:val="00284B93"/>
    <w:rsid w:val="00284BBD"/>
    <w:rsid w:val="002A0509"/>
    <w:rsid w:val="002A2AEC"/>
    <w:rsid w:val="002A38EF"/>
    <w:rsid w:val="002B1B1A"/>
    <w:rsid w:val="002D7B12"/>
    <w:rsid w:val="002E2B8B"/>
    <w:rsid w:val="002E3D27"/>
    <w:rsid w:val="002E7282"/>
    <w:rsid w:val="002F4296"/>
    <w:rsid w:val="00301EFD"/>
    <w:rsid w:val="00303571"/>
    <w:rsid w:val="00305E8E"/>
    <w:rsid w:val="003072EA"/>
    <w:rsid w:val="00322110"/>
    <w:rsid w:val="00327060"/>
    <w:rsid w:val="003323F8"/>
    <w:rsid w:val="00332C41"/>
    <w:rsid w:val="00337D7D"/>
    <w:rsid w:val="00340476"/>
    <w:rsid w:val="003476EE"/>
    <w:rsid w:val="00352C6C"/>
    <w:rsid w:val="00354144"/>
    <w:rsid w:val="00355265"/>
    <w:rsid w:val="00355B8E"/>
    <w:rsid w:val="00364ACC"/>
    <w:rsid w:val="0036733B"/>
    <w:rsid w:val="0037702B"/>
    <w:rsid w:val="003A434C"/>
    <w:rsid w:val="003A53B5"/>
    <w:rsid w:val="003A541C"/>
    <w:rsid w:val="003A6346"/>
    <w:rsid w:val="003B046D"/>
    <w:rsid w:val="003B0F5E"/>
    <w:rsid w:val="003B44F1"/>
    <w:rsid w:val="003B59C4"/>
    <w:rsid w:val="003C4CC5"/>
    <w:rsid w:val="003D0738"/>
    <w:rsid w:val="003D2B00"/>
    <w:rsid w:val="003D2BF9"/>
    <w:rsid w:val="003D7E8F"/>
    <w:rsid w:val="003E2EB0"/>
    <w:rsid w:val="003E5D59"/>
    <w:rsid w:val="003F42F0"/>
    <w:rsid w:val="004023EE"/>
    <w:rsid w:val="0041668A"/>
    <w:rsid w:val="00423451"/>
    <w:rsid w:val="00435D10"/>
    <w:rsid w:val="004527F6"/>
    <w:rsid w:val="004567DF"/>
    <w:rsid w:val="004576AF"/>
    <w:rsid w:val="00461BC8"/>
    <w:rsid w:val="0046575D"/>
    <w:rsid w:val="00465B78"/>
    <w:rsid w:val="00480169"/>
    <w:rsid w:val="00483BED"/>
    <w:rsid w:val="00487F8C"/>
    <w:rsid w:val="004960B4"/>
    <w:rsid w:val="004A272D"/>
    <w:rsid w:val="004A627A"/>
    <w:rsid w:val="004B40B3"/>
    <w:rsid w:val="004B739F"/>
    <w:rsid w:val="004C11F4"/>
    <w:rsid w:val="004C4C0A"/>
    <w:rsid w:val="004C749C"/>
    <w:rsid w:val="004D2AC7"/>
    <w:rsid w:val="004D3ED2"/>
    <w:rsid w:val="004E0EF8"/>
    <w:rsid w:val="004E6BBF"/>
    <w:rsid w:val="004F46E2"/>
    <w:rsid w:val="005018FC"/>
    <w:rsid w:val="00507940"/>
    <w:rsid w:val="0051203F"/>
    <w:rsid w:val="00515372"/>
    <w:rsid w:val="00533E87"/>
    <w:rsid w:val="0054460C"/>
    <w:rsid w:val="0054772F"/>
    <w:rsid w:val="00552462"/>
    <w:rsid w:val="00554FEE"/>
    <w:rsid w:val="00555213"/>
    <w:rsid w:val="005623F8"/>
    <w:rsid w:val="0056286A"/>
    <w:rsid w:val="00566701"/>
    <w:rsid w:val="0057299D"/>
    <w:rsid w:val="00572B69"/>
    <w:rsid w:val="00582679"/>
    <w:rsid w:val="00585DCD"/>
    <w:rsid w:val="005903E1"/>
    <w:rsid w:val="0059494B"/>
    <w:rsid w:val="005A237A"/>
    <w:rsid w:val="005A4E5C"/>
    <w:rsid w:val="005B65B6"/>
    <w:rsid w:val="005B6DBF"/>
    <w:rsid w:val="005C1891"/>
    <w:rsid w:val="005C2B9C"/>
    <w:rsid w:val="005C7DAF"/>
    <w:rsid w:val="005D0390"/>
    <w:rsid w:val="005D209F"/>
    <w:rsid w:val="005D6347"/>
    <w:rsid w:val="005E0702"/>
    <w:rsid w:val="005E3242"/>
    <w:rsid w:val="005E3C08"/>
    <w:rsid w:val="005E504A"/>
    <w:rsid w:val="005F7F99"/>
    <w:rsid w:val="00601627"/>
    <w:rsid w:val="0061195C"/>
    <w:rsid w:val="006160A8"/>
    <w:rsid w:val="00620AAF"/>
    <w:rsid w:val="006231BB"/>
    <w:rsid w:val="00624FD4"/>
    <w:rsid w:val="006268F4"/>
    <w:rsid w:val="0063267C"/>
    <w:rsid w:val="0063427E"/>
    <w:rsid w:val="006351A8"/>
    <w:rsid w:val="006451BD"/>
    <w:rsid w:val="0064541B"/>
    <w:rsid w:val="0064700E"/>
    <w:rsid w:val="00651E1D"/>
    <w:rsid w:val="0065401E"/>
    <w:rsid w:val="006570BD"/>
    <w:rsid w:val="00670A4C"/>
    <w:rsid w:val="006738F2"/>
    <w:rsid w:val="00677270"/>
    <w:rsid w:val="00680869"/>
    <w:rsid w:val="00685808"/>
    <w:rsid w:val="00690DBA"/>
    <w:rsid w:val="00694A49"/>
    <w:rsid w:val="006A0EEA"/>
    <w:rsid w:val="006A1F38"/>
    <w:rsid w:val="006A5A8D"/>
    <w:rsid w:val="006A6326"/>
    <w:rsid w:val="006B5B87"/>
    <w:rsid w:val="006C535E"/>
    <w:rsid w:val="006C561B"/>
    <w:rsid w:val="006D2927"/>
    <w:rsid w:val="006E7ABB"/>
    <w:rsid w:val="00707376"/>
    <w:rsid w:val="0071780E"/>
    <w:rsid w:val="00722C2A"/>
    <w:rsid w:val="0073408B"/>
    <w:rsid w:val="00736F66"/>
    <w:rsid w:val="00737D98"/>
    <w:rsid w:val="00742D8F"/>
    <w:rsid w:val="00757A9D"/>
    <w:rsid w:val="00767C00"/>
    <w:rsid w:val="00770BA3"/>
    <w:rsid w:val="007917D9"/>
    <w:rsid w:val="007960B8"/>
    <w:rsid w:val="007A0E16"/>
    <w:rsid w:val="007A29ED"/>
    <w:rsid w:val="007A7D89"/>
    <w:rsid w:val="007B40F7"/>
    <w:rsid w:val="007B7C71"/>
    <w:rsid w:val="007C1B28"/>
    <w:rsid w:val="007C27D0"/>
    <w:rsid w:val="007C42AD"/>
    <w:rsid w:val="007C67F2"/>
    <w:rsid w:val="007D229F"/>
    <w:rsid w:val="007D51A8"/>
    <w:rsid w:val="007D5D42"/>
    <w:rsid w:val="007E236C"/>
    <w:rsid w:val="007E3A3A"/>
    <w:rsid w:val="007E5470"/>
    <w:rsid w:val="007F1287"/>
    <w:rsid w:val="007F4A3F"/>
    <w:rsid w:val="007F53DE"/>
    <w:rsid w:val="00804E5B"/>
    <w:rsid w:val="00813781"/>
    <w:rsid w:val="0082302F"/>
    <w:rsid w:val="00823FFA"/>
    <w:rsid w:val="0083142D"/>
    <w:rsid w:val="00831576"/>
    <w:rsid w:val="008455AA"/>
    <w:rsid w:val="0084782C"/>
    <w:rsid w:val="00850203"/>
    <w:rsid w:val="00856AB9"/>
    <w:rsid w:val="00870EFE"/>
    <w:rsid w:val="008719C1"/>
    <w:rsid w:val="00871C73"/>
    <w:rsid w:val="00871EB6"/>
    <w:rsid w:val="00883166"/>
    <w:rsid w:val="00886CC6"/>
    <w:rsid w:val="00891B0B"/>
    <w:rsid w:val="0089296D"/>
    <w:rsid w:val="008A163D"/>
    <w:rsid w:val="008A1F72"/>
    <w:rsid w:val="008A693E"/>
    <w:rsid w:val="008B6AE1"/>
    <w:rsid w:val="008E30E8"/>
    <w:rsid w:val="008F05F9"/>
    <w:rsid w:val="008F1D24"/>
    <w:rsid w:val="008F2B73"/>
    <w:rsid w:val="008F4915"/>
    <w:rsid w:val="008F4E12"/>
    <w:rsid w:val="008F772B"/>
    <w:rsid w:val="00904FEF"/>
    <w:rsid w:val="00907900"/>
    <w:rsid w:val="00920F84"/>
    <w:rsid w:val="00922D72"/>
    <w:rsid w:val="00927092"/>
    <w:rsid w:val="00933F9A"/>
    <w:rsid w:val="00940CE3"/>
    <w:rsid w:val="0094537E"/>
    <w:rsid w:val="00946CF8"/>
    <w:rsid w:val="0094783B"/>
    <w:rsid w:val="0095600E"/>
    <w:rsid w:val="009572CA"/>
    <w:rsid w:val="00960B28"/>
    <w:rsid w:val="00967D12"/>
    <w:rsid w:val="00973776"/>
    <w:rsid w:val="00991E65"/>
    <w:rsid w:val="00992DF6"/>
    <w:rsid w:val="009A12B2"/>
    <w:rsid w:val="009A18E3"/>
    <w:rsid w:val="009A2BF6"/>
    <w:rsid w:val="009A3B1E"/>
    <w:rsid w:val="009A57D4"/>
    <w:rsid w:val="009A66C4"/>
    <w:rsid w:val="009B4F34"/>
    <w:rsid w:val="009C08D6"/>
    <w:rsid w:val="009D0434"/>
    <w:rsid w:val="009D1231"/>
    <w:rsid w:val="009D1324"/>
    <w:rsid w:val="009D73A6"/>
    <w:rsid w:val="009E7677"/>
    <w:rsid w:val="009F514B"/>
    <w:rsid w:val="009F661D"/>
    <w:rsid w:val="00A04B2B"/>
    <w:rsid w:val="00A13B6E"/>
    <w:rsid w:val="00A1544D"/>
    <w:rsid w:val="00A15C2E"/>
    <w:rsid w:val="00A212D2"/>
    <w:rsid w:val="00A26BF0"/>
    <w:rsid w:val="00A30F36"/>
    <w:rsid w:val="00A57E49"/>
    <w:rsid w:val="00A703C7"/>
    <w:rsid w:val="00A705E6"/>
    <w:rsid w:val="00A71B8E"/>
    <w:rsid w:val="00A745D6"/>
    <w:rsid w:val="00A7587B"/>
    <w:rsid w:val="00A85621"/>
    <w:rsid w:val="00A90A3A"/>
    <w:rsid w:val="00AA247D"/>
    <w:rsid w:val="00AA4E69"/>
    <w:rsid w:val="00AA7D23"/>
    <w:rsid w:val="00AB0F7F"/>
    <w:rsid w:val="00AB6D32"/>
    <w:rsid w:val="00AC3224"/>
    <w:rsid w:val="00AD56B6"/>
    <w:rsid w:val="00AE0EF6"/>
    <w:rsid w:val="00AE2449"/>
    <w:rsid w:val="00AE4112"/>
    <w:rsid w:val="00AE6554"/>
    <w:rsid w:val="00AF2412"/>
    <w:rsid w:val="00AF2EBE"/>
    <w:rsid w:val="00AF538F"/>
    <w:rsid w:val="00AF6356"/>
    <w:rsid w:val="00B0183F"/>
    <w:rsid w:val="00B14D94"/>
    <w:rsid w:val="00B15901"/>
    <w:rsid w:val="00B35D6C"/>
    <w:rsid w:val="00B3633D"/>
    <w:rsid w:val="00B44022"/>
    <w:rsid w:val="00B45298"/>
    <w:rsid w:val="00B5069F"/>
    <w:rsid w:val="00B52BF3"/>
    <w:rsid w:val="00B61266"/>
    <w:rsid w:val="00B627CE"/>
    <w:rsid w:val="00B6628C"/>
    <w:rsid w:val="00B721CD"/>
    <w:rsid w:val="00B731D4"/>
    <w:rsid w:val="00B736E0"/>
    <w:rsid w:val="00B75B00"/>
    <w:rsid w:val="00B76BA6"/>
    <w:rsid w:val="00B80B6F"/>
    <w:rsid w:val="00B90463"/>
    <w:rsid w:val="00BB0E9C"/>
    <w:rsid w:val="00BB556C"/>
    <w:rsid w:val="00BB754F"/>
    <w:rsid w:val="00BC0CA9"/>
    <w:rsid w:val="00BC16A9"/>
    <w:rsid w:val="00BC4CF9"/>
    <w:rsid w:val="00BC727C"/>
    <w:rsid w:val="00BC730A"/>
    <w:rsid w:val="00BD1A58"/>
    <w:rsid w:val="00BE7B6E"/>
    <w:rsid w:val="00BF7463"/>
    <w:rsid w:val="00C15915"/>
    <w:rsid w:val="00C31B08"/>
    <w:rsid w:val="00C36015"/>
    <w:rsid w:val="00C51F31"/>
    <w:rsid w:val="00C56AC3"/>
    <w:rsid w:val="00C57BB4"/>
    <w:rsid w:val="00C63036"/>
    <w:rsid w:val="00C65190"/>
    <w:rsid w:val="00C8593C"/>
    <w:rsid w:val="00CB460E"/>
    <w:rsid w:val="00CC3DBC"/>
    <w:rsid w:val="00CF3E51"/>
    <w:rsid w:val="00D01B9D"/>
    <w:rsid w:val="00D10AF9"/>
    <w:rsid w:val="00D15FA3"/>
    <w:rsid w:val="00D17713"/>
    <w:rsid w:val="00D21093"/>
    <w:rsid w:val="00D3178C"/>
    <w:rsid w:val="00D449F5"/>
    <w:rsid w:val="00D46096"/>
    <w:rsid w:val="00D5426E"/>
    <w:rsid w:val="00D54CE5"/>
    <w:rsid w:val="00D57A29"/>
    <w:rsid w:val="00D6004C"/>
    <w:rsid w:val="00D67169"/>
    <w:rsid w:val="00D76255"/>
    <w:rsid w:val="00D92A6B"/>
    <w:rsid w:val="00D96345"/>
    <w:rsid w:val="00DB1F6D"/>
    <w:rsid w:val="00DB3964"/>
    <w:rsid w:val="00DB6576"/>
    <w:rsid w:val="00DC0226"/>
    <w:rsid w:val="00DC25F5"/>
    <w:rsid w:val="00DD13D1"/>
    <w:rsid w:val="00DD5DA3"/>
    <w:rsid w:val="00DF6415"/>
    <w:rsid w:val="00E01C37"/>
    <w:rsid w:val="00E02087"/>
    <w:rsid w:val="00E0582A"/>
    <w:rsid w:val="00E11D59"/>
    <w:rsid w:val="00E14E0D"/>
    <w:rsid w:val="00E2340D"/>
    <w:rsid w:val="00E30CD4"/>
    <w:rsid w:val="00E4060F"/>
    <w:rsid w:val="00E43D88"/>
    <w:rsid w:val="00E470D1"/>
    <w:rsid w:val="00E5352D"/>
    <w:rsid w:val="00E53CA1"/>
    <w:rsid w:val="00E62B6A"/>
    <w:rsid w:val="00E633C0"/>
    <w:rsid w:val="00E65F35"/>
    <w:rsid w:val="00E7312A"/>
    <w:rsid w:val="00E76244"/>
    <w:rsid w:val="00E77793"/>
    <w:rsid w:val="00E80A8C"/>
    <w:rsid w:val="00E8799D"/>
    <w:rsid w:val="00EA2A8D"/>
    <w:rsid w:val="00EA427F"/>
    <w:rsid w:val="00EB03A9"/>
    <w:rsid w:val="00EB3A75"/>
    <w:rsid w:val="00EB4B64"/>
    <w:rsid w:val="00EB5D4C"/>
    <w:rsid w:val="00EC7CBA"/>
    <w:rsid w:val="00ED1394"/>
    <w:rsid w:val="00ED29E8"/>
    <w:rsid w:val="00EE0991"/>
    <w:rsid w:val="00EE3A21"/>
    <w:rsid w:val="00EE3BB0"/>
    <w:rsid w:val="00EF282A"/>
    <w:rsid w:val="00EF3053"/>
    <w:rsid w:val="00F0143E"/>
    <w:rsid w:val="00F042D0"/>
    <w:rsid w:val="00F05D86"/>
    <w:rsid w:val="00F05F99"/>
    <w:rsid w:val="00F06F4E"/>
    <w:rsid w:val="00F07545"/>
    <w:rsid w:val="00F1654A"/>
    <w:rsid w:val="00F222C1"/>
    <w:rsid w:val="00F27A6E"/>
    <w:rsid w:val="00F31F9E"/>
    <w:rsid w:val="00F350C1"/>
    <w:rsid w:val="00F40950"/>
    <w:rsid w:val="00F41F5C"/>
    <w:rsid w:val="00F4380F"/>
    <w:rsid w:val="00F4774E"/>
    <w:rsid w:val="00F514ED"/>
    <w:rsid w:val="00F51DB7"/>
    <w:rsid w:val="00F52470"/>
    <w:rsid w:val="00F52687"/>
    <w:rsid w:val="00F55E50"/>
    <w:rsid w:val="00F60134"/>
    <w:rsid w:val="00F76455"/>
    <w:rsid w:val="00F81642"/>
    <w:rsid w:val="00F8259F"/>
    <w:rsid w:val="00F91534"/>
    <w:rsid w:val="00FB548F"/>
    <w:rsid w:val="00FC1B50"/>
    <w:rsid w:val="00FC6E1E"/>
    <w:rsid w:val="00FD0DC1"/>
    <w:rsid w:val="00FD3304"/>
    <w:rsid w:val="00FD4BF3"/>
    <w:rsid w:val="00FD733E"/>
    <w:rsid w:val="00FE0AFA"/>
    <w:rsid w:val="00FE224E"/>
    <w:rsid w:val="00FE59E4"/>
    <w:rsid w:val="00FF3BA3"/>
    <w:rsid w:val="07C1A890"/>
    <w:rsid w:val="0B072D0F"/>
    <w:rsid w:val="1038B00E"/>
    <w:rsid w:val="1DE15B39"/>
    <w:rsid w:val="2AF09EA5"/>
    <w:rsid w:val="35B65646"/>
    <w:rsid w:val="40D1A937"/>
    <w:rsid w:val="49974884"/>
    <w:rsid w:val="4F2CCC9F"/>
    <w:rsid w:val="504604A6"/>
    <w:rsid w:val="646BA1CD"/>
    <w:rsid w:val="667D6139"/>
    <w:rsid w:val="6E07F254"/>
    <w:rsid w:val="706A40C7"/>
    <w:rsid w:val="75051F60"/>
    <w:rsid w:val="764EF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EAF1679E-0519-4F61-AE1B-ED56047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3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3E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3E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3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3E8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paragraph">
    <w:name w:val="paragraph"/>
    <w:basedOn w:val="Normln"/>
    <w:rsid w:val="005C7DA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Standardnpsmoodstavce"/>
    <w:rsid w:val="005C7DAF"/>
  </w:style>
  <w:style w:type="character" w:customStyle="1" w:styleId="eop">
    <w:name w:val="eop"/>
    <w:basedOn w:val="Standardnpsmoodstavce"/>
    <w:rsid w:val="005C7DAF"/>
  </w:style>
  <w:style w:type="paragraph" w:styleId="Revize">
    <w:name w:val="Revision"/>
    <w:hidden/>
    <w:uiPriority w:val="99"/>
    <w:semiHidden/>
    <w:rsid w:val="00EB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700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6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na.prochazkova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restcom.cz/" TargetMode="External"/><Relationship Id="rId17" Type="http://schemas.openxmlformats.org/officeDocument/2006/relationships/hyperlink" Target="http://www.cbr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property-forum.eu/publications" TargetMode="Externa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6B2A7-B0A8-42F0-A539-56882046D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7AEF9-1970-47E9-A861-85662FCEE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3179F-69EA-4EA2-AA3A-8FF4FCD1991F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Metadata/LabelInfo.xml><?xml version="1.0" encoding="utf-8"?>
<clbl:labelList xmlns:clbl="http://schemas.microsoft.com/office/2020/mipLabelMetadata">
  <clbl:label id="{a4033ad9-086f-4644-8250-c4b04e194685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 (1)</Template>
  <TotalTime>1</TotalTime>
  <Pages>2</Pages>
  <Words>462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CBRE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Mirman, Corey @ Corporate Communications</dc:creator>
  <cp:keywords/>
  <cp:lastModifiedBy>Tereza Štosová</cp:lastModifiedBy>
  <cp:revision>2</cp:revision>
  <cp:lastPrinted>2023-12-12T18:35:00Z</cp:lastPrinted>
  <dcterms:created xsi:type="dcterms:W3CDTF">2025-05-30T08:17:00Z</dcterms:created>
  <dcterms:modified xsi:type="dcterms:W3CDTF">2025-05-30T08:17:00Z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2e07bf9cd05b419f08bbe6a0cfc25b2567a991c2dcc512bf619ef5a07575a297</vt:lpwstr>
  </property>
  <property fmtid="{D5CDD505-2E9C-101B-9397-08002B2CF9AE}" pid="3" name="ContentTypeId">
    <vt:lpwstr>0x010100D037425BC85BAC47A18BE758018E6255</vt:lpwstr>
  </property>
</Properties>
</file>